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52026_040601.xml.htm"/>
      <w:bookmarkStart w:id="1" w:name="ksform406052026_0406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BIENAIME JEAN JACQUES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KEROS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1050 WALTHAM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Keros Therapeutics, Inc.</w:t>
              </w:r>
            </w:hyperlink>
            <w:r>
              <w:rPr/>
              <w:t xml:space="preserve"> [ </w:t>
            </w:r>
            <w:r>
              <w:rPr>
                <w:rFonts w:ascii="Times;serif" w:hAnsi="Times;serif"/>
                <w:color w:val="0000FF"/>
                <w:sz w:val="24"/>
                <w:shd w:fill="FFFFFF" w:val="clear"/>
              </w:rPr>
              <w:t>KROS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7,142</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16,592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7,433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unit ("RSU") award. The RSUs fully vest on the earlier of (A) June 3, 2027 and (B) the date of the Issuer's 2027 annual meeting of stockholders, subject to the Reporting Person continuing to provide service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shall vest in equal quarterly installments over the 12 months following June 3, 2026, provided that the grant will in any case be fully vested on the date of Issuer's 2027 annual meeting of stockholders, subject to the Reporting Person continuing to provide service through each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Esther Cho,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1590" TargetMode="External"/><Relationship Id="rId5" Type="http://schemas.openxmlformats.org/officeDocument/2006/relationships/hyperlink" Target="http://www.sec.gov/cgi-bin/browse-edgar?action=getcompany&amp;CIK=00016647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3621</Characters>
  <CharactersWithSpaces>4227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